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黑体_GBK" w:hAnsi="Times New Roman" w:eastAsia="方正黑体_GBK"/>
          <w:b w:val="0"/>
          <w:bCs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 w:val="0"/>
          <w:bCs/>
          <w:sz w:val="32"/>
          <w:szCs w:val="32"/>
        </w:rPr>
        <w:t>附件</w:t>
      </w:r>
    </w:p>
    <w:p>
      <w:pPr>
        <w:spacing w:line="500" w:lineRule="exact"/>
        <w:jc w:val="lef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0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36"/>
          <w:szCs w:val="36"/>
        </w:rPr>
      </w:pPr>
      <w:bookmarkStart w:id="0" w:name="_GoBack"/>
      <w:r>
        <w:rPr>
          <w:rFonts w:ascii="方正小标宋_GBK" w:hAnsi="Times New Roman" w:eastAsia="方正小标宋_GBK" w:cs="Times New Roman"/>
          <w:color w:val="000000"/>
          <w:kern w:val="0"/>
          <w:sz w:val="36"/>
          <w:szCs w:val="36"/>
        </w:rPr>
        <w:t>未</w:t>
      </w:r>
      <w:r>
        <w:rPr>
          <w:rFonts w:hint="eastAsia" w:ascii="方正小标宋_GBK" w:hAnsi="Times New Roman" w:eastAsia="方正小标宋_GBK"/>
          <w:color w:val="000000"/>
          <w:kern w:val="0"/>
          <w:sz w:val="36"/>
          <w:szCs w:val="36"/>
        </w:rPr>
        <w:t>按规定</w:t>
      </w:r>
      <w:r>
        <w:rPr>
          <w:rFonts w:ascii="方正小标宋_GBK" w:hAnsi="Times New Roman" w:eastAsia="方正小标宋_GBK" w:cs="Times New Roman"/>
          <w:color w:val="000000"/>
          <w:kern w:val="0"/>
          <w:sz w:val="36"/>
          <w:szCs w:val="36"/>
        </w:rPr>
        <w:t>报</w:t>
      </w:r>
      <w:r>
        <w:rPr>
          <w:rFonts w:hint="eastAsia" w:ascii="方正小标宋_GBK" w:hAnsi="Times New Roman" w:eastAsia="方正小标宋_GBK" w:cs="Times New Roman"/>
          <w:color w:val="000000"/>
          <w:kern w:val="0"/>
          <w:sz w:val="36"/>
          <w:szCs w:val="36"/>
          <w:lang w:eastAsia="zh-CN"/>
        </w:rPr>
        <w:t>送</w:t>
      </w:r>
      <w:r>
        <w:rPr>
          <w:rFonts w:ascii="方正小标宋_GBK" w:hAnsi="Times New Roman" w:eastAsia="方正小标宋_GBK" w:cs="Times New Roman"/>
          <w:color w:val="000000"/>
          <w:kern w:val="0"/>
          <w:sz w:val="36"/>
          <w:szCs w:val="36"/>
        </w:rPr>
        <w:t>事故单位整改情况</w:t>
      </w:r>
      <w:r>
        <w:rPr>
          <w:rFonts w:hint="eastAsia" w:ascii="方正小标宋_GBK" w:hAnsi="Times New Roman" w:eastAsia="方正小标宋_GBK"/>
          <w:color w:val="000000"/>
          <w:kern w:val="0"/>
          <w:sz w:val="36"/>
          <w:szCs w:val="36"/>
        </w:rPr>
        <w:t>材料</w:t>
      </w:r>
      <w:r>
        <w:rPr>
          <w:rFonts w:ascii="方正小标宋_GBK" w:hAnsi="Times New Roman" w:eastAsia="方正小标宋_GBK" w:cs="Times New Roman"/>
          <w:color w:val="000000"/>
          <w:kern w:val="0"/>
          <w:sz w:val="36"/>
          <w:szCs w:val="36"/>
        </w:rPr>
        <w:t>的地区名单</w:t>
      </w:r>
      <w:bookmarkEnd w:id="0"/>
    </w:p>
    <w:p>
      <w:pPr>
        <w:spacing w:line="500" w:lineRule="exact"/>
        <w:jc w:val="center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（2021年第二季度）</w:t>
      </w:r>
    </w:p>
    <w:tbl>
      <w:tblPr>
        <w:tblStyle w:val="6"/>
        <w:tblW w:w="0" w:type="auto"/>
        <w:tblInd w:w="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</w:tblPr>
      <w:tblGrid>
        <w:gridCol w:w="1858"/>
        <w:gridCol w:w="4820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97" w:hRule="atLeast"/>
        </w:trPr>
        <w:tc>
          <w:tcPr>
            <w:tcW w:w="1858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事故项目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事故单位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  <w:t>涉及地区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防城港市桂海高新未来城（冷链二期）项目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广西桂海农场品冷链物流有限公司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广西建工集团第二安装建设有限公司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贵港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来宾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崇左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百色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46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河池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526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南宁市宾阳县物流配送中心、小商品城片区二期项目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A6#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楼工程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、南宁市宾阳县中山学府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楼项目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南宁市宾阳城建集团有限公司</w:t>
            </w:r>
          </w:p>
        </w:tc>
        <w:tc>
          <w:tcPr>
            <w:tcW w:w="2126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568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广西泓臻建筑工程有限公司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64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南宁市横县彰泰城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10#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11#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s-1#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楼、地下室一期项目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横县彰泰房地产开发有限公司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64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桂林甄泰建筑工程有限公司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64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64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64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贵港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64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64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64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964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南宁市上林县新柳南高速上林东收费站至大丰进城道路项目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标段（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K1+200-K2+800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）</w:t>
            </w: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上林县振林投资发展集团有限责任公司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广西城建建设集团有限公司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贵港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崇左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百色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850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桂林市万达山湖畔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03#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05#-12#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27#-29#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楼及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03#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05#-12#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楼半地下室项目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桂林临桂万达房地产开发有限公司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85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中国建筑第二工程局有限公司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85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85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85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95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崇左市环城北路工程PPP项目项目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8"/>
              </w:rPr>
              <w:t>中铁崇左市政项目建设管理有限公司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崇左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09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中铁五局集团机械化工程有限责任公司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崇左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51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玉林市陆川县陆川商贸城一期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16#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楼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陆川县鑫亚航置业有限公司</w:t>
            </w:r>
          </w:p>
        </w:tc>
        <w:tc>
          <w:tcPr>
            <w:tcW w:w="2126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85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江西鑫果建筑工程有限公司</w:t>
            </w:r>
          </w:p>
        </w:tc>
        <w:tc>
          <w:tcPr>
            <w:tcW w:w="2126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900" w:hRule="atLeast"/>
        </w:trPr>
        <w:tc>
          <w:tcPr>
            <w:tcW w:w="1858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南宁市中南十洲（一期）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11#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12#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13#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楼及地下室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南宁景信置业有限公司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33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柳州市荣和天誉项目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柳州市荣和房地产开发有限公司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028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中建三局第一建设工程有限责任公司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南宁（部分项目整改情况未报）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014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柳州（部分项目整改情况未报）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057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桂林（部分项目整改情况未报）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33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钦州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33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贵港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33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680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北海市彰泰碧海银滩小区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栋、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栋、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9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栋项目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广西天海同和投资有限公司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北海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075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广西茂达建设工程有限公司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北海（部分项目整改情况未报）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67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桂林市锦天城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1#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2#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3#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6#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7#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（三星）、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8#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（幼儿园）、地下室项目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广西裕发房地产开发有限公司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67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广西桂林地建建设有限公司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12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桂林（部分项目整改情况未报）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67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南宁市马山县特色美食街（悦恒天润公馆）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5#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楼</w:t>
            </w: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广西马山县悦恒房地产开发有限公司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135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广东电白二建集团有限公司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南宁（部分项目整改情况未报）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1192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桂林（部分项目整改情况未报）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崇左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玉林市陆川县贵源城（二期）地下室项目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陆川贵源置业投资有限公司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广西途辉建筑工程有限公司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柳州市杨柳郡紫荆苑七期项目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柳州绿城房地产开发有限公司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浙江中成建工集团有限公司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南宁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柳州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贵港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梧州市茶花园项目多层住宅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B</w:t>
            </w:r>
            <w:r>
              <w:rPr>
                <w:rFonts w:hint="eastAsia" w:ascii="方正仿宋_GBK" w:hAnsi="Times New Roman" w:eastAsia="方正仿宋_GBK"/>
                <w:kern w:val="0"/>
                <w:sz w:val="28"/>
                <w:szCs w:val="28"/>
              </w:rPr>
              <w:t>区项目</w:t>
            </w:r>
          </w:p>
        </w:tc>
        <w:tc>
          <w:tcPr>
            <w:tcW w:w="4820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梧州市华冠投资开发有限公司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restart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广西容县建筑工程公司</w:t>
            </w: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防城港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梧州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0" w:type="dxa"/>
            <w:bottom w:w="57" w:type="dxa"/>
            <w:right w:w="0" w:type="dxa"/>
          </w:tblCellMar>
        </w:tblPrEx>
        <w:trPr>
          <w:trHeight w:val="510" w:hRule="atLeast"/>
        </w:trPr>
        <w:tc>
          <w:tcPr>
            <w:tcW w:w="1858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4820" w:type="dxa"/>
            <w:vMerge w:val="continue"/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tcMar>
              <w:top w:w="15" w:type="dxa"/>
              <w:left w:w="15" w:type="dxa"/>
              <w:bottom w:w="57" w:type="dxa"/>
              <w:right w:w="15" w:type="dxa"/>
            </w:tcMar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="Times New Roman" w:hAnsi="Times New Roman" w:eastAsia="方正仿宋_GBK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28"/>
                <w:szCs w:val="28"/>
              </w:rPr>
              <w:t>玉林</w:t>
            </w:r>
          </w:p>
        </w:tc>
      </w:tr>
    </w:tbl>
    <w:p>
      <w:pPr>
        <w:rPr>
          <w:rFonts w:hint="eastAsia"/>
        </w:rPr>
      </w:pPr>
      <w:r>
        <w:rPr>
          <w:rFonts w:ascii="方正黑体_GBK" w:hAnsi="Times New Roman" w:eastAsia="方正黑体_GBK" w:cs="Times New Roman"/>
          <w:sz w:val="28"/>
          <w:szCs w:val="28"/>
        </w:rPr>
        <w:t>备注：</w:t>
      </w:r>
      <w:r>
        <w:rPr>
          <w:rFonts w:ascii="方正仿宋_GBK" w:hAnsi="Times New Roman" w:eastAsia="方正仿宋_GBK" w:cs="Times New Roman"/>
          <w:sz w:val="28"/>
          <w:szCs w:val="28"/>
        </w:rPr>
        <w:t>涉及地区指上述事故相关单位在全区的在建项目所属的设区市。</w:t>
      </w:r>
    </w:p>
    <w:p/>
    <w:sectPr>
      <w:pgSz w:w="11906" w:h="16838"/>
      <w:pgMar w:top="1928" w:right="1417" w:bottom="181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55CF"/>
    <w:rsid w:val="374328AD"/>
    <w:rsid w:val="39183FCD"/>
    <w:rsid w:val="3DC643BF"/>
    <w:rsid w:val="685D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90" w:lineRule="exact"/>
      <w:outlineLvl w:val="1"/>
    </w:pPr>
    <w:rPr>
      <w:rFonts w:eastAsia="方正黑体_GBK"/>
    </w:rPr>
  </w:style>
  <w:style w:type="paragraph" w:styleId="3">
    <w:name w:val="heading 3"/>
    <w:basedOn w:val="1"/>
    <w:next w:val="1"/>
    <w:semiHidden/>
    <w:unhideWhenUsed/>
    <w:qFormat/>
    <w:uiPriority w:val="0"/>
    <w:pPr>
      <w:keepNext/>
      <w:keepLines/>
      <w:spacing w:before="0" w:beforeLines="0" w:beforeAutospacing="0" w:after="0" w:afterLines="0" w:afterAutospacing="0" w:line="590" w:lineRule="exact"/>
      <w:outlineLvl w:val="2"/>
    </w:pPr>
    <w:rPr>
      <w:rFonts w:eastAsia="方正楷体_GBK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2021-07-23T10:21:00Z</dcterms:created>
  <dc:creator>Q</dc:creator>
  <cp:lastModifiedBy>Q</cp:lastModifiedBy>
  <dcterms:modified xsi:type="dcterms:W3CDTF">2021-07-23T10:22:23Z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5927B567B3E64E1BAAA7CCC8E532D529</vt:lpwstr>
  </property>
</Properties>
</file>